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B3" w:rsidRDefault="008746B3" w:rsidP="0078608B">
      <w:pPr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color w:val="92D050"/>
          <w:sz w:val="36"/>
          <w:szCs w:val="36"/>
          <w:lang w:val="en" w:eastAsia="en-GB"/>
        </w:rPr>
      </w:pPr>
      <w:r w:rsidRPr="00773815">
        <w:rPr>
          <w:rFonts w:ascii="Arial" w:eastAsia="Times New Roman" w:hAnsi="Arial" w:cs="Arial"/>
          <w:b/>
          <w:color w:val="92D050"/>
          <w:sz w:val="36"/>
          <w:szCs w:val="36"/>
          <w:lang w:val="en" w:eastAsia="en-GB"/>
        </w:rPr>
        <w:t>Dynamic Purchasing System (DPS) for Minor Building Works</w:t>
      </w:r>
      <w:r w:rsidR="006C7369">
        <w:rPr>
          <w:rFonts w:ascii="Arial" w:eastAsia="Times New Roman" w:hAnsi="Arial" w:cs="Arial"/>
          <w:b/>
          <w:color w:val="92D050"/>
          <w:sz w:val="36"/>
          <w:szCs w:val="36"/>
          <w:lang w:val="en" w:eastAsia="en-GB"/>
        </w:rPr>
        <w:t xml:space="preserve"> (6 Lots)</w:t>
      </w:r>
    </w:p>
    <w:p w:rsidR="00650DEA" w:rsidRPr="008746B3" w:rsidRDefault="008746B3" w:rsidP="00650DEA">
      <w:pPr>
        <w:spacing w:before="240" w:after="240" w:line="379" w:lineRule="atLeast"/>
        <w:jc w:val="both"/>
        <w:rPr>
          <w:rFonts w:ascii="Arial" w:eastAsia="Times New Roman" w:hAnsi="Arial" w:cs="Arial"/>
          <w:color w:val="444444"/>
          <w:lang w:val="en" w:eastAsia="en-GB"/>
        </w:rPr>
      </w:pPr>
      <w:r w:rsidRPr="008746B3">
        <w:rPr>
          <w:rFonts w:ascii="Arial" w:eastAsia="Times New Roman" w:hAnsi="Arial" w:cs="Arial"/>
          <w:color w:val="444444"/>
          <w:lang w:val="en" w:eastAsia="en-GB"/>
        </w:rPr>
        <w:t>We would like to invite you to join our Dynamic Purchasing System (DPS) which will provide a list of approved providers considered capable of carrying out minor works to a satisfactory standard. The Council</w:t>
      </w:r>
      <w:r w:rsidR="00E204BB">
        <w:rPr>
          <w:rFonts w:ascii="Arial" w:eastAsia="Times New Roman" w:hAnsi="Arial" w:cs="Arial"/>
          <w:color w:val="444444"/>
          <w:lang w:val="en" w:eastAsia="en-GB"/>
        </w:rPr>
        <w:t xml:space="preserve"> and</w:t>
      </w:r>
      <w:r w:rsidR="00DD2C53">
        <w:rPr>
          <w:rFonts w:ascii="Arial" w:eastAsia="Times New Roman" w:hAnsi="Arial" w:cs="Arial"/>
          <w:color w:val="444444"/>
          <w:lang w:val="en" w:eastAsia="en-GB"/>
        </w:rPr>
        <w:t xml:space="preserve"> its</w:t>
      </w:r>
      <w:r w:rsidR="00E204BB">
        <w:rPr>
          <w:rFonts w:ascii="Arial" w:eastAsia="Times New Roman" w:hAnsi="Arial" w:cs="Arial"/>
          <w:color w:val="444444"/>
          <w:lang w:val="en" w:eastAsia="en-GB"/>
        </w:rPr>
        <w:t xml:space="preserve"> partners require</w:t>
      </w:r>
      <w:r w:rsidRPr="008746B3">
        <w:rPr>
          <w:rFonts w:ascii="Arial" w:eastAsia="Times New Roman" w:hAnsi="Arial" w:cs="Arial"/>
          <w:color w:val="444444"/>
          <w:lang w:val="en" w:eastAsia="en-GB"/>
        </w:rPr>
        <w:t xml:space="preserve"> the ability to flexibly deliver minor works in the way it </w:t>
      </w:r>
      <w:r w:rsidR="008D4F53">
        <w:rPr>
          <w:rFonts w:ascii="Arial" w:eastAsia="Times New Roman" w:hAnsi="Arial" w:cs="Arial"/>
          <w:color w:val="444444"/>
          <w:lang w:val="en" w:eastAsia="en-GB"/>
        </w:rPr>
        <w:t xml:space="preserve">sees fit for its site(s) and has </w:t>
      </w:r>
      <w:r w:rsidRPr="008746B3">
        <w:rPr>
          <w:rFonts w:ascii="Arial" w:eastAsia="Times New Roman" w:hAnsi="Arial" w:cs="Arial"/>
          <w:color w:val="444444"/>
          <w:lang w:val="en" w:eastAsia="en-GB"/>
        </w:rPr>
        <w:t>implem</w:t>
      </w:r>
      <w:r w:rsidR="008D4F53">
        <w:rPr>
          <w:rFonts w:ascii="Arial" w:eastAsia="Times New Roman" w:hAnsi="Arial" w:cs="Arial"/>
          <w:color w:val="444444"/>
          <w:lang w:val="en" w:eastAsia="en-GB"/>
        </w:rPr>
        <w:t>ented</w:t>
      </w:r>
      <w:r w:rsidRPr="008746B3">
        <w:rPr>
          <w:rFonts w:ascii="Arial" w:eastAsia="Times New Roman" w:hAnsi="Arial" w:cs="Arial"/>
          <w:color w:val="444444"/>
          <w:lang w:val="en" w:eastAsia="en-GB"/>
        </w:rPr>
        <w:t xml:space="preserve"> a Dynamic Purchasing System (DPS) to assist in the procurement of minor building works valued up to £800,000. </w:t>
      </w:r>
      <w:r w:rsidR="008D2DC2" w:rsidRPr="005E79FF">
        <w:rPr>
          <w:rFonts w:ascii="Arial" w:eastAsia="Times New Roman" w:hAnsi="Arial" w:cs="Arial"/>
          <w:color w:val="444444"/>
          <w:lang w:val="en" w:eastAsia="en-GB"/>
        </w:rPr>
        <w:t xml:space="preserve">The Council </w:t>
      </w:r>
      <w:r w:rsidR="008D2DC2">
        <w:rPr>
          <w:rFonts w:ascii="Arial" w:eastAsia="Times New Roman" w:hAnsi="Arial" w:cs="Arial"/>
          <w:color w:val="444444"/>
          <w:lang w:val="en" w:eastAsia="en-GB"/>
        </w:rPr>
        <w:t xml:space="preserve">and partners </w:t>
      </w:r>
      <w:r w:rsidR="008D2DC2" w:rsidRPr="005E79FF">
        <w:rPr>
          <w:rFonts w:ascii="Arial" w:eastAsia="Times New Roman" w:hAnsi="Arial" w:cs="Arial"/>
          <w:color w:val="444444"/>
          <w:lang w:val="en" w:eastAsia="en-GB"/>
        </w:rPr>
        <w:t>may undertake a wide range of alterations, refurbishment and new build projects t</w:t>
      </w:r>
      <w:r w:rsidR="00816D50">
        <w:rPr>
          <w:rFonts w:ascii="Arial" w:eastAsia="Times New Roman" w:hAnsi="Arial" w:cs="Arial"/>
          <w:color w:val="444444"/>
          <w:lang w:val="en" w:eastAsia="en-GB"/>
        </w:rPr>
        <w:t>hroughout many sectors such as r</w:t>
      </w:r>
      <w:r w:rsidR="008D2DC2" w:rsidRPr="005E79FF">
        <w:rPr>
          <w:rFonts w:ascii="Arial" w:eastAsia="Times New Roman" w:hAnsi="Arial" w:cs="Arial"/>
          <w:color w:val="444444"/>
          <w:lang w:val="en" w:eastAsia="en-GB"/>
        </w:rPr>
        <w:t>esident</w:t>
      </w:r>
      <w:r w:rsidR="00816D50">
        <w:rPr>
          <w:rFonts w:ascii="Arial" w:eastAsia="Times New Roman" w:hAnsi="Arial" w:cs="Arial"/>
          <w:color w:val="444444"/>
          <w:lang w:val="en" w:eastAsia="en-GB"/>
        </w:rPr>
        <w:t>ial, education, c</w:t>
      </w:r>
      <w:r w:rsidR="008D2DC2" w:rsidRPr="005E79FF">
        <w:rPr>
          <w:rFonts w:ascii="Arial" w:eastAsia="Times New Roman" w:hAnsi="Arial" w:cs="Arial"/>
          <w:color w:val="444444"/>
          <w:lang w:val="en" w:eastAsia="en-GB"/>
        </w:rPr>
        <w:t xml:space="preserve">ommercial, </w:t>
      </w:r>
      <w:r w:rsidR="00816D50">
        <w:rPr>
          <w:rFonts w:ascii="Arial" w:eastAsia="Times New Roman" w:hAnsi="Arial" w:cs="Arial"/>
          <w:color w:val="444444"/>
          <w:lang w:val="en" w:eastAsia="en-GB"/>
        </w:rPr>
        <w:t>industrial, h</w:t>
      </w:r>
      <w:r w:rsidR="008D2DC2" w:rsidRPr="00891D5A">
        <w:rPr>
          <w:rFonts w:ascii="Arial" w:eastAsia="Times New Roman" w:hAnsi="Arial" w:cs="Arial"/>
          <w:color w:val="444444"/>
          <w:lang w:val="en" w:eastAsia="en-GB"/>
        </w:rPr>
        <w:t>ighways</w:t>
      </w:r>
      <w:r w:rsidR="008D2DC2">
        <w:rPr>
          <w:rFonts w:ascii="Arial" w:eastAsia="Times New Roman" w:hAnsi="Arial" w:cs="Arial"/>
          <w:color w:val="444444"/>
          <w:lang w:val="en" w:eastAsia="en-GB"/>
        </w:rPr>
        <w:t xml:space="preserve"> </w:t>
      </w:r>
      <w:r w:rsidR="00816D50">
        <w:rPr>
          <w:rFonts w:ascii="Arial" w:eastAsia="Times New Roman" w:hAnsi="Arial" w:cs="Arial"/>
          <w:color w:val="444444"/>
          <w:lang w:val="en" w:eastAsia="en-GB"/>
        </w:rPr>
        <w:t>and l</w:t>
      </w:r>
      <w:r w:rsidR="00650DEA">
        <w:rPr>
          <w:rFonts w:ascii="Arial" w:eastAsia="Times New Roman" w:hAnsi="Arial" w:cs="Arial"/>
          <w:color w:val="444444"/>
          <w:lang w:val="en" w:eastAsia="en-GB"/>
        </w:rPr>
        <w:t>eisure</w:t>
      </w:r>
      <w:r w:rsidR="008D2DC2">
        <w:rPr>
          <w:rFonts w:ascii="Arial" w:eastAsia="Times New Roman" w:hAnsi="Arial" w:cs="Arial"/>
          <w:color w:val="444444"/>
          <w:lang w:val="en" w:eastAsia="en-GB"/>
        </w:rPr>
        <w:t>.</w:t>
      </w:r>
      <w:r w:rsidR="008D2DC2" w:rsidRPr="005E79FF">
        <w:rPr>
          <w:rFonts w:ascii="Arial" w:eastAsia="Times New Roman" w:hAnsi="Arial" w:cs="Arial"/>
          <w:color w:val="444444"/>
          <w:lang w:val="en" w:eastAsia="en-GB"/>
        </w:rPr>
        <w:t> </w:t>
      </w:r>
      <w:r w:rsidR="00650DEA">
        <w:rPr>
          <w:rFonts w:ascii="Arial" w:eastAsia="Times New Roman" w:hAnsi="Arial" w:cs="Arial"/>
          <w:color w:val="444444"/>
          <w:lang w:val="en" w:eastAsia="en-GB"/>
        </w:rPr>
        <w:t xml:space="preserve"> </w:t>
      </w:r>
      <w:r w:rsidR="00650DEA" w:rsidRPr="008746B3">
        <w:rPr>
          <w:rFonts w:ascii="Arial" w:eastAsia="Times New Roman" w:hAnsi="Arial" w:cs="Arial"/>
          <w:color w:val="444444"/>
          <w:lang w:val="en" w:eastAsia="en-GB"/>
        </w:rPr>
        <w:t>The objective is to source a greater range of provision; a wider choice of providers (including</w:t>
      </w:r>
      <w:r w:rsidR="00650DEA">
        <w:rPr>
          <w:rFonts w:ascii="Arial" w:eastAsia="Times New Roman" w:hAnsi="Arial" w:cs="Arial"/>
          <w:color w:val="444444"/>
          <w:lang w:val="en" w:eastAsia="en-GB"/>
        </w:rPr>
        <w:t xml:space="preserve"> small and medium enterprises) </w:t>
      </w:r>
      <w:r w:rsidR="00650DEA" w:rsidRPr="008746B3">
        <w:rPr>
          <w:rFonts w:ascii="Arial" w:eastAsia="Times New Roman" w:hAnsi="Arial" w:cs="Arial"/>
          <w:color w:val="444444"/>
          <w:lang w:val="en" w:eastAsia="en-GB"/>
        </w:rPr>
        <w:t xml:space="preserve">in a quicker and more efficient way. </w:t>
      </w:r>
    </w:p>
    <w:p w:rsidR="008746B3" w:rsidRPr="008746B3" w:rsidRDefault="008746B3" w:rsidP="0078608B">
      <w:pPr>
        <w:spacing w:before="240" w:after="240" w:line="379" w:lineRule="atLeast"/>
        <w:jc w:val="both"/>
        <w:rPr>
          <w:rFonts w:ascii="Arial" w:eastAsia="Times New Roman" w:hAnsi="Arial" w:cs="Arial"/>
          <w:color w:val="444444"/>
          <w:lang w:val="en" w:eastAsia="en-GB"/>
        </w:rPr>
      </w:pPr>
      <w:r w:rsidRPr="008746B3">
        <w:rPr>
          <w:rFonts w:ascii="Arial" w:eastAsia="Times New Roman" w:hAnsi="Arial" w:cs="Arial"/>
          <w:color w:val="444444"/>
          <w:lang w:val="en" w:eastAsia="en-GB"/>
        </w:rPr>
        <w:t xml:space="preserve">The DPS is a two-stage process: </w:t>
      </w:r>
    </w:p>
    <w:p w:rsidR="008746B3" w:rsidRDefault="008746B3" w:rsidP="0078608B">
      <w:pPr>
        <w:spacing w:before="240" w:after="240" w:line="379" w:lineRule="atLeast"/>
        <w:jc w:val="both"/>
        <w:rPr>
          <w:rFonts w:ascii="Arial" w:eastAsia="Times New Roman" w:hAnsi="Arial" w:cs="Arial"/>
          <w:b/>
          <w:bCs/>
          <w:color w:val="444444"/>
          <w:lang w:val="en" w:eastAsia="en-GB"/>
        </w:rPr>
      </w:pPr>
      <w:r w:rsidRPr="008746B3">
        <w:rPr>
          <w:rFonts w:ascii="Arial" w:eastAsia="Times New Roman" w:hAnsi="Arial" w:cs="Arial"/>
          <w:b/>
          <w:bCs/>
          <w:color w:val="444444"/>
          <w:lang w:val="en" w:eastAsia="en-GB"/>
        </w:rPr>
        <w:t xml:space="preserve">Stage 1 </w:t>
      </w:r>
    </w:p>
    <w:p w:rsidR="00B134F6" w:rsidRDefault="002E4C81" w:rsidP="00B134F6">
      <w:pPr>
        <w:spacing w:before="240" w:after="240" w:line="379" w:lineRule="atLeast"/>
        <w:jc w:val="both"/>
        <w:rPr>
          <w:rFonts w:ascii="Arial" w:eastAsia="Times New Roman" w:hAnsi="Arial" w:cs="Arial"/>
          <w:color w:val="444444"/>
          <w:lang w:val="en" w:eastAsia="en-GB"/>
        </w:rPr>
      </w:pPr>
      <w:r w:rsidRPr="00891D5A">
        <w:rPr>
          <w:rFonts w:ascii="Arial" w:eastAsia="Times New Roman" w:hAnsi="Arial" w:cs="Arial"/>
          <w:color w:val="444444"/>
          <w:lang w:val="en" w:eastAsia="en-GB"/>
        </w:rPr>
        <w:t xml:space="preserve">In the initial setup stage, all providers who meet the selection criteria and are not excluded will be </w:t>
      </w:r>
      <w:r>
        <w:rPr>
          <w:rFonts w:ascii="Arial" w:eastAsia="Times New Roman" w:hAnsi="Arial" w:cs="Arial"/>
          <w:color w:val="444444"/>
          <w:lang w:val="en" w:eastAsia="en-GB"/>
        </w:rPr>
        <w:t xml:space="preserve">admitted to the DPS. There is </w:t>
      </w:r>
      <w:r w:rsidRPr="00891D5A">
        <w:rPr>
          <w:rFonts w:ascii="Arial" w:eastAsia="Times New Roman" w:hAnsi="Arial" w:cs="Arial"/>
          <w:color w:val="444444"/>
          <w:lang w:val="en" w:eastAsia="en-GB"/>
        </w:rPr>
        <w:t>no limit on the number</w:t>
      </w:r>
      <w:r>
        <w:rPr>
          <w:rFonts w:ascii="Arial" w:eastAsia="Times New Roman" w:hAnsi="Arial" w:cs="Arial"/>
          <w:color w:val="444444"/>
          <w:lang w:val="en" w:eastAsia="en-GB"/>
        </w:rPr>
        <w:t xml:space="preserve"> </w:t>
      </w:r>
      <w:r w:rsidRPr="00891D5A">
        <w:rPr>
          <w:rFonts w:ascii="Arial" w:eastAsia="Times New Roman" w:hAnsi="Arial" w:cs="Arial"/>
          <w:color w:val="444444"/>
          <w:lang w:val="en" w:eastAsia="en-GB"/>
        </w:rPr>
        <w:t>of providers that</w:t>
      </w:r>
      <w:r>
        <w:rPr>
          <w:rFonts w:ascii="Arial" w:eastAsia="Times New Roman" w:hAnsi="Arial" w:cs="Arial"/>
          <w:color w:val="444444"/>
          <w:lang w:val="en" w:eastAsia="en-GB"/>
        </w:rPr>
        <w:t xml:space="preserve"> may join the DPS for each Lot and n</w:t>
      </w:r>
      <w:r w:rsidRPr="00891D5A">
        <w:rPr>
          <w:rFonts w:ascii="Arial" w:eastAsia="Times New Roman" w:hAnsi="Arial" w:cs="Arial"/>
          <w:color w:val="444444"/>
          <w:lang w:val="en" w:eastAsia="en-GB"/>
        </w:rPr>
        <w:t xml:space="preserve">ew providers can apply to join the DPS at any point during its lifetime.  </w:t>
      </w:r>
      <w:r>
        <w:rPr>
          <w:rFonts w:ascii="Arial" w:eastAsia="Times New Roman" w:hAnsi="Arial" w:cs="Arial"/>
          <w:color w:val="444444"/>
          <w:lang w:val="en" w:eastAsia="en-GB"/>
        </w:rPr>
        <w:t xml:space="preserve"> In order to join the DPS for Minor Building Works please complete the application process via Delta.  </w:t>
      </w:r>
      <w:r w:rsidRPr="00891D5A">
        <w:rPr>
          <w:rFonts w:ascii="Arial" w:eastAsia="Times New Roman" w:hAnsi="Arial" w:cs="Arial"/>
          <w:color w:val="444444"/>
          <w:lang w:val="en" w:eastAsia="en-GB"/>
        </w:rPr>
        <w:t xml:space="preserve">The documents are available on the </w:t>
      </w:r>
      <w:hyperlink r:id="rId7" w:tooltip="Visit the Delta website" w:history="1">
        <w:r w:rsidRPr="00891D5A">
          <w:rPr>
            <w:rFonts w:ascii="Arial" w:eastAsia="Times New Roman" w:hAnsi="Arial" w:cs="Arial"/>
            <w:color w:val="CB1443"/>
            <w:lang w:val="en" w:eastAsia="en-GB"/>
          </w:rPr>
          <w:t>Delta website</w:t>
        </w:r>
      </w:hyperlink>
      <w:r w:rsidRPr="00891D5A">
        <w:rPr>
          <w:rFonts w:ascii="Arial" w:eastAsia="Times New Roman" w:hAnsi="Arial" w:cs="Arial"/>
          <w:color w:val="444444"/>
          <w:lang w:val="en" w:eastAsia="en-GB"/>
        </w:rPr>
        <w:t xml:space="preserve"> and you must register on </w:t>
      </w:r>
      <w:r>
        <w:rPr>
          <w:rFonts w:ascii="Arial" w:eastAsia="Times New Roman" w:hAnsi="Arial" w:cs="Arial"/>
          <w:color w:val="444444"/>
          <w:lang w:val="en" w:eastAsia="en-GB"/>
        </w:rPr>
        <w:t>this site to be able to</w:t>
      </w:r>
      <w:r w:rsidR="00B134F6">
        <w:rPr>
          <w:rFonts w:ascii="Arial" w:eastAsia="Times New Roman" w:hAnsi="Arial" w:cs="Arial"/>
          <w:color w:val="444444"/>
          <w:lang w:val="en" w:eastAsia="en-GB"/>
        </w:rPr>
        <w:t xml:space="preserve"> respond.</w:t>
      </w:r>
      <w:r w:rsidR="000627BD">
        <w:rPr>
          <w:rFonts w:ascii="Arial" w:eastAsia="Times New Roman" w:hAnsi="Arial" w:cs="Arial"/>
          <w:color w:val="444444"/>
          <w:lang w:val="en" w:eastAsia="en-GB"/>
        </w:rPr>
        <w:t xml:space="preserve"> To ensure you receive and always have full access to the documentation from Delta, you may find it beneficial to register using a shared</w:t>
      </w:r>
      <w:r w:rsidR="00B852AA">
        <w:rPr>
          <w:rFonts w:ascii="Arial" w:eastAsia="Times New Roman" w:hAnsi="Arial" w:cs="Arial"/>
          <w:color w:val="444444"/>
          <w:lang w:val="en" w:eastAsia="en-GB"/>
        </w:rPr>
        <w:t xml:space="preserve"> mailbox.  </w:t>
      </w:r>
      <w:r w:rsidR="00B134F6">
        <w:rPr>
          <w:rFonts w:ascii="Arial" w:eastAsia="Times New Roman" w:hAnsi="Arial" w:cs="Arial"/>
          <w:color w:val="444444"/>
          <w:lang w:val="en" w:eastAsia="en-GB"/>
        </w:rPr>
        <w:t>P</w:t>
      </w:r>
      <w:r>
        <w:rPr>
          <w:rFonts w:ascii="Arial" w:eastAsia="Times New Roman" w:hAnsi="Arial" w:cs="Arial"/>
          <w:color w:val="444444"/>
          <w:lang w:val="en" w:eastAsia="en-GB"/>
        </w:rPr>
        <w:t xml:space="preserve">lease </w:t>
      </w:r>
      <w:r w:rsidRPr="00891D5A">
        <w:rPr>
          <w:rFonts w:ascii="Arial" w:eastAsia="Times New Roman" w:hAnsi="Arial" w:cs="Arial"/>
          <w:color w:val="444444"/>
          <w:lang w:val="en" w:eastAsia="en-GB"/>
        </w:rPr>
        <w:t xml:space="preserve">log in and add the Tender Access Code </w:t>
      </w:r>
      <w:r w:rsidR="00A0746C" w:rsidRPr="008746B3">
        <w:rPr>
          <w:rFonts w:ascii="Arial" w:eastAsia="Times New Roman" w:hAnsi="Arial" w:cs="Arial"/>
          <w:color w:val="444444"/>
          <w:lang w:val="en" w:eastAsia="en-GB"/>
        </w:rPr>
        <w:t>rel</w:t>
      </w:r>
      <w:r w:rsidR="00B134F6">
        <w:rPr>
          <w:rFonts w:ascii="Arial" w:eastAsia="Times New Roman" w:hAnsi="Arial" w:cs="Arial"/>
          <w:color w:val="444444"/>
          <w:lang w:val="en" w:eastAsia="en-GB"/>
        </w:rPr>
        <w:t>ating to the Lot(s) you wish</w:t>
      </w:r>
      <w:r w:rsidR="00A0746C" w:rsidRPr="008746B3">
        <w:rPr>
          <w:rFonts w:ascii="Arial" w:eastAsia="Times New Roman" w:hAnsi="Arial" w:cs="Arial"/>
          <w:color w:val="444444"/>
          <w:lang w:val="en" w:eastAsia="en-GB"/>
        </w:rPr>
        <w:t xml:space="preserve"> to join.</w:t>
      </w:r>
      <w:r w:rsidR="0089094C">
        <w:rPr>
          <w:rFonts w:ascii="Arial" w:eastAsia="Times New Roman" w:hAnsi="Arial" w:cs="Arial"/>
          <w:color w:val="444444"/>
          <w:lang w:val="en" w:eastAsia="en-GB"/>
        </w:rPr>
        <w:t xml:space="preserve">  </w:t>
      </w:r>
    </w:p>
    <w:p w:rsidR="00A0746C" w:rsidRDefault="00A0746C" w:rsidP="00B134F6">
      <w:pPr>
        <w:spacing w:before="240" w:after="240" w:line="379" w:lineRule="atLeast"/>
        <w:jc w:val="both"/>
        <w:rPr>
          <w:rFonts w:ascii="Arial" w:eastAsia="Times New Roman" w:hAnsi="Arial" w:cs="Arial"/>
          <w:color w:val="444444"/>
          <w:lang w:val="en" w:eastAsia="en-GB"/>
        </w:rPr>
      </w:pPr>
      <w:r w:rsidRPr="008746B3">
        <w:rPr>
          <w:rFonts w:ascii="Arial" w:eastAsia="Times New Roman" w:hAnsi="Arial" w:cs="Arial"/>
          <w:color w:val="444444"/>
          <w:lang w:val="en" w:eastAsia="en-GB"/>
        </w:rPr>
        <w:t>You may submit a questionnaire response at any time during the validity of the DPS (</w:t>
      </w:r>
      <w:r>
        <w:rPr>
          <w:rFonts w:ascii="Arial" w:eastAsia="Times New Roman" w:hAnsi="Arial" w:cs="Arial"/>
          <w:color w:val="444444"/>
          <w:lang w:val="en" w:eastAsia="en-GB"/>
        </w:rPr>
        <w:t xml:space="preserve">March 2019 – </w:t>
      </w:r>
      <w:r w:rsidR="006C7369">
        <w:rPr>
          <w:rFonts w:ascii="Arial" w:eastAsia="Times New Roman" w:hAnsi="Arial" w:cs="Arial"/>
          <w:color w:val="444444"/>
          <w:lang w:val="en" w:eastAsia="en-GB"/>
        </w:rPr>
        <w:t xml:space="preserve">15 April </w:t>
      </w:r>
      <w:r>
        <w:rPr>
          <w:rFonts w:ascii="Arial" w:eastAsia="Times New Roman" w:hAnsi="Arial" w:cs="Arial"/>
          <w:color w:val="444444"/>
          <w:lang w:val="en" w:eastAsia="en-GB"/>
        </w:rPr>
        <w:t>2023</w:t>
      </w:r>
      <w:r w:rsidRPr="008746B3">
        <w:rPr>
          <w:rFonts w:ascii="Arial" w:eastAsia="Times New Roman" w:hAnsi="Arial" w:cs="Arial"/>
          <w:color w:val="444444"/>
          <w:lang w:val="en" w:eastAsia="en-GB"/>
        </w:rPr>
        <w:t xml:space="preserve">) and may re-submit at any </w:t>
      </w:r>
      <w:r>
        <w:rPr>
          <w:rFonts w:ascii="Arial" w:eastAsia="Times New Roman" w:hAnsi="Arial" w:cs="Arial"/>
          <w:color w:val="444444"/>
          <w:lang w:val="en" w:eastAsia="en-GB"/>
        </w:rPr>
        <w:t>time e.g. for additional Lots or</w:t>
      </w:r>
      <w:r w:rsidR="009D77F9">
        <w:rPr>
          <w:rFonts w:ascii="Arial" w:eastAsia="Times New Roman" w:hAnsi="Arial" w:cs="Arial"/>
          <w:color w:val="444444"/>
          <w:lang w:val="en" w:eastAsia="en-GB"/>
        </w:rPr>
        <w:t xml:space="preserve"> to</w:t>
      </w:r>
      <w:r>
        <w:rPr>
          <w:rFonts w:ascii="Arial" w:eastAsia="Times New Roman" w:hAnsi="Arial" w:cs="Arial"/>
          <w:color w:val="444444"/>
          <w:lang w:val="en" w:eastAsia="en-GB"/>
        </w:rPr>
        <w:t xml:space="preserve"> update information.</w:t>
      </w:r>
    </w:p>
    <w:p w:rsidR="008746B3" w:rsidRPr="008746B3" w:rsidRDefault="008746B3" w:rsidP="0078608B">
      <w:pPr>
        <w:spacing w:before="240" w:after="240" w:line="379" w:lineRule="atLeast"/>
        <w:jc w:val="both"/>
        <w:rPr>
          <w:rFonts w:ascii="Arial" w:eastAsia="Times New Roman" w:hAnsi="Arial" w:cs="Arial"/>
          <w:color w:val="444444"/>
          <w:lang w:val="en" w:eastAsia="en-GB"/>
        </w:rPr>
      </w:pPr>
      <w:r w:rsidRPr="008746B3">
        <w:rPr>
          <w:rFonts w:ascii="Arial" w:eastAsia="Times New Roman" w:hAnsi="Arial" w:cs="Arial"/>
          <w:b/>
          <w:bCs/>
          <w:color w:val="444444"/>
          <w:lang w:val="en" w:eastAsia="en-GB"/>
        </w:rPr>
        <w:t xml:space="preserve">Stage 2 </w:t>
      </w:r>
    </w:p>
    <w:p w:rsidR="008746B3" w:rsidRPr="008746B3" w:rsidRDefault="008746B3" w:rsidP="0078608B">
      <w:pPr>
        <w:spacing w:before="240" w:after="240" w:line="379" w:lineRule="atLeast"/>
        <w:jc w:val="both"/>
        <w:rPr>
          <w:rFonts w:ascii="Arial" w:eastAsia="Times New Roman" w:hAnsi="Arial" w:cs="Arial"/>
          <w:color w:val="444444"/>
          <w:lang w:val="en" w:eastAsia="en-GB"/>
        </w:rPr>
      </w:pPr>
      <w:r w:rsidRPr="008746B3">
        <w:rPr>
          <w:rFonts w:ascii="Arial" w:eastAsia="Times New Roman" w:hAnsi="Arial" w:cs="Arial"/>
          <w:color w:val="444444"/>
          <w:lang w:val="en" w:eastAsia="en-GB"/>
        </w:rPr>
        <w:t xml:space="preserve">Individual contracts are awarded during the second stage. In this stage all providers admitted to the DPS for the Lot required can bid for a specific contract. </w:t>
      </w:r>
    </w:p>
    <w:tbl>
      <w:tblPr>
        <w:tblW w:w="504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8774"/>
        <w:gridCol w:w="5145"/>
      </w:tblGrid>
      <w:tr w:rsidR="008746B3" w:rsidRPr="008746B3" w:rsidTr="0089094C">
        <w:trPr>
          <w:trHeight w:val="93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747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46B3" w:rsidRPr="008746B3" w:rsidRDefault="008746B3" w:rsidP="0078608B">
            <w:pPr>
              <w:spacing w:before="379" w:after="379" w:line="384" w:lineRule="atLeast"/>
              <w:jc w:val="both"/>
              <w:rPr>
                <w:rFonts w:ascii="Arial" w:eastAsia="Times New Roman" w:hAnsi="Arial" w:cs="Arial"/>
                <w:b/>
                <w:bCs/>
                <w:caps/>
                <w:color w:val="FFFFFF"/>
                <w:lang w:eastAsia="en-GB"/>
              </w:rPr>
            </w:pPr>
            <w:r w:rsidRPr="008746B3">
              <w:rPr>
                <w:rFonts w:ascii="Arial" w:eastAsia="Times New Roman" w:hAnsi="Arial" w:cs="Arial"/>
                <w:b/>
                <w:bCs/>
                <w:caps/>
                <w:color w:val="FFFFFF"/>
                <w:lang w:eastAsia="en-GB"/>
              </w:rPr>
              <w:lastRenderedPageBreak/>
              <w:t xml:space="preserve">Lot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747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46B3" w:rsidRPr="008746B3" w:rsidRDefault="008746B3" w:rsidP="0078608B">
            <w:pPr>
              <w:spacing w:before="379" w:after="379" w:line="384" w:lineRule="atLeast"/>
              <w:jc w:val="both"/>
              <w:rPr>
                <w:rFonts w:ascii="Arial" w:eastAsia="Times New Roman" w:hAnsi="Arial" w:cs="Arial"/>
                <w:b/>
                <w:bCs/>
                <w:caps/>
                <w:color w:val="FFFFFF"/>
                <w:lang w:eastAsia="en-GB"/>
              </w:rPr>
            </w:pPr>
            <w:r w:rsidRPr="008746B3">
              <w:rPr>
                <w:rFonts w:ascii="Arial" w:eastAsia="Times New Roman" w:hAnsi="Arial" w:cs="Arial"/>
                <w:b/>
                <w:bCs/>
                <w:caps/>
                <w:color w:val="FFFFFF"/>
                <w:lang w:eastAsia="en-GB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747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46B3" w:rsidRPr="008746B3" w:rsidRDefault="008746B3" w:rsidP="0078608B">
            <w:pPr>
              <w:spacing w:before="379" w:after="379" w:line="384" w:lineRule="atLeast"/>
              <w:jc w:val="both"/>
              <w:rPr>
                <w:rFonts w:ascii="Arial" w:eastAsia="Times New Roman" w:hAnsi="Arial" w:cs="Arial"/>
                <w:b/>
                <w:bCs/>
                <w:caps/>
                <w:color w:val="FFFFFF"/>
                <w:lang w:eastAsia="en-GB"/>
              </w:rPr>
            </w:pPr>
            <w:r w:rsidRPr="008746B3">
              <w:rPr>
                <w:rFonts w:ascii="Arial" w:eastAsia="Times New Roman" w:hAnsi="Arial" w:cs="Arial"/>
                <w:b/>
                <w:bCs/>
                <w:caps/>
                <w:color w:val="FFFFFF"/>
                <w:lang w:eastAsia="en-GB"/>
              </w:rPr>
              <w:t>Tender Access Code</w:t>
            </w:r>
          </w:p>
        </w:tc>
      </w:tr>
      <w:tr w:rsidR="008746B3" w:rsidRPr="008746B3" w:rsidTr="003F0264">
        <w:trPr>
          <w:trHeight w:val="107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746B3" w:rsidRPr="008746B3" w:rsidRDefault="008746B3" w:rsidP="0078608B">
            <w:pPr>
              <w:spacing w:before="379" w:after="379" w:line="379" w:lineRule="atLeast"/>
              <w:jc w:val="both"/>
              <w:rPr>
                <w:rFonts w:ascii="Arial" w:eastAsia="Times New Roman" w:hAnsi="Arial" w:cs="Arial"/>
                <w:color w:val="444444"/>
                <w:lang w:eastAsia="en-GB"/>
              </w:rPr>
            </w:pPr>
            <w:r w:rsidRPr="008746B3">
              <w:rPr>
                <w:rFonts w:ascii="Arial" w:eastAsia="Times New Roman" w:hAnsi="Arial" w:cs="Arial"/>
                <w:color w:val="44444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746B3" w:rsidRPr="008746B3" w:rsidRDefault="008746B3" w:rsidP="0078608B">
            <w:pPr>
              <w:spacing w:before="379" w:after="379" w:line="379" w:lineRule="atLeast"/>
              <w:jc w:val="both"/>
              <w:rPr>
                <w:rFonts w:ascii="Arial" w:eastAsia="Times New Roman" w:hAnsi="Arial" w:cs="Arial"/>
                <w:color w:val="444444"/>
                <w:lang w:eastAsia="en-GB"/>
              </w:rPr>
            </w:pPr>
            <w:r w:rsidRPr="008746B3">
              <w:rPr>
                <w:rFonts w:ascii="Arial" w:eastAsia="Times New Roman" w:hAnsi="Arial" w:cs="Arial"/>
                <w:color w:val="444444"/>
                <w:lang w:eastAsia="en-GB"/>
              </w:rPr>
              <w:t>Construction Works (up to £150,000)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746B3" w:rsidRPr="008746B3" w:rsidRDefault="008746B3" w:rsidP="0078608B">
            <w:pPr>
              <w:spacing w:before="379" w:after="379" w:line="379" w:lineRule="atLeast"/>
              <w:jc w:val="both"/>
              <w:rPr>
                <w:rFonts w:ascii="Arial" w:eastAsia="Times New Roman" w:hAnsi="Arial" w:cs="Arial"/>
                <w:color w:val="444444"/>
                <w:lang w:eastAsia="en-GB"/>
              </w:rPr>
            </w:pPr>
            <w:r w:rsidRPr="008746B3">
              <w:rPr>
                <w:rFonts w:ascii="Arial" w:eastAsia="Times New Roman" w:hAnsi="Arial" w:cs="Arial"/>
                <w:b/>
                <w:bCs/>
                <w:color w:val="444444"/>
                <w:lang w:eastAsia="en-GB"/>
              </w:rPr>
              <w:t>78W9SE6N62</w:t>
            </w:r>
            <w:r w:rsidRPr="008746B3">
              <w:rPr>
                <w:rFonts w:ascii="Arial" w:eastAsia="Times New Roman" w:hAnsi="Arial" w:cs="Arial"/>
                <w:color w:val="444444"/>
                <w:lang w:eastAsia="en-GB"/>
              </w:rPr>
              <w:t xml:space="preserve"> </w:t>
            </w:r>
          </w:p>
        </w:tc>
      </w:tr>
      <w:tr w:rsidR="008746B3" w:rsidRPr="008746B3" w:rsidTr="003F0264">
        <w:trPr>
          <w:trHeight w:val="107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746B3" w:rsidRPr="008746B3" w:rsidRDefault="008746B3" w:rsidP="0078608B">
            <w:pPr>
              <w:spacing w:before="379" w:after="379" w:line="379" w:lineRule="atLeast"/>
              <w:jc w:val="both"/>
              <w:rPr>
                <w:rFonts w:ascii="Arial" w:eastAsia="Times New Roman" w:hAnsi="Arial" w:cs="Arial"/>
                <w:color w:val="444444"/>
                <w:lang w:eastAsia="en-GB"/>
              </w:rPr>
            </w:pPr>
            <w:r w:rsidRPr="008746B3">
              <w:rPr>
                <w:rFonts w:ascii="Arial" w:eastAsia="Times New Roman" w:hAnsi="Arial" w:cs="Arial"/>
                <w:color w:val="444444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746B3" w:rsidRPr="008746B3" w:rsidRDefault="008746B3" w:rsidP="0078608B">
            <w:pPr>
              <w:spacing w:before="379" w:after="379" w:line="379" w:lineRule="atLeast"/>
              <w:jc w:val="both"/>
              <w:rPr>
                <w:rFonts w:ascii="Arial" w:eastAsia="Times New Roman" w:hAnsi="Arial" w:cs="Arial"/>
                <w:color w:val="444444"/>
                <w:lang w:eastAsia="en-GB"/>
              </w:rPr>
            </w:pPr>
            <w:r w:rsidRPr="008746B3">
              <w:rPr>
                <w:rFonts w:ascii="Arial" w:eastAsia="Times New Roman" w:hAnsi="Arial" w:cs="Arial"/>
                <w:color w:val="444444"/>
                <w:lang w:eastAsia="en-GB"/>
              </w:rPr>
              <w:t xml:space="preserve">Construction Works (£150,000 - £500,000)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746B3" w:rsidRPr="008746B3" w:rsidRDefault="008746B3" w:rsidP="0078608B">
            <w:pPr>
              <w:spacing w:before="379" w:after="379" w:line="379" w:lineRule="atLeast"/>
              <w:jc w:val="both"/>
              <w:rPr>
                <w:rFonts w:ascii="Arial" w:eastAsia="Times New Roman" w:hAnsi="Arial" w:cs="Arial"/>
                <w:color w:val="444444"/>
                <w:lang w:eastAsia="en-GB"/>
              </w:rPr>
            </w:pPr>
            <w:r w:rsidRPr="008746B3">
              <w:rPr>
                <w:rFonts w:ascii="Arial" w:eastAsia="Times New Roman" w:hAnsi="Arial" w:cs="Arial"/>
                <w:b/>
                <w:bCs/>
                <w:color w:val="444444"/>
                <w:lang w:eastAsia="en-GB"/>
              </w:rPr>
              <w:t>UZC589VX8M</w:t>
            </w:r>
            <w:r w:rsidRPr="008746B3">
              <w:rPr>
                <w:rFonts w:ascii="Arial" w:eastAsia="Times New Roman" w:hAnsi="Arial" w:cs="Arial"/>
                <w:color w:val="444444"/>
                <w:lang w:eastAsia="en-GB"/>
              </w:rPr>
              <w:t xml:space="preserve"> </w:t>
            </w:r>
          </w:p>
        </w:tc>
      </w:tr>
      <w:tr w:rsidR="008746B3" w:rsidRPr="008746B3" w:rsidTr="003F0264">
        <w:trPr>
          <w:trHeight w:val="107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746B3" w:rsidRPr="008746B3" w:rsidRDefault="008746B3" w:rsidP="0078608B">
            <w:pPr>
              <w:spacing w:before="379" w:after="379" w:line="379" w:lineRule="atLeast"/>
              <w:jc w:val="both"/>
              <w:rPr>
                <w:rFonts w:ascii="Arial" w:eastAsia="Times New Roman" w:hAnsi="Arial" w:cs="Arial"/>
                <w:color w:val="444444"/>
                <w:lang w:eastAsia="en-GB"/>
              </w:rPr>
            </w:pPr>
            <w:r w:rsidRPr="008746B3">
              <w:rPr>
                <w:rFonts w:ascii="Arial" w:eastAsia="Times New Roman" w:hAnsi="Arial" w:cs="Arial"/>
                <w:color w:val="444444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746B3" w:rsidRPr="008746B3" w:rsidRDefault="008746B3" w:rsidP="0078608B">
            <w:pPr>
              <w:spacing w:before="379" w:after="379" w:line="379" w:lineRule="atLeast"/>
              <w:jc w:val="both"/>
              <w:rPr>
                <w:rFonts w:ascii="Arial" w:eastAsia="Times New Roman" w:hAnsi="Arial" w:cs="Arial"/>
                <w:color w:val="444444"/>
                <w:lang w:eastAsia="en-GB"/>
              </w:rPr>
            </w:pPr>
            <w:r w:rsidRPr="008746B3">
              <w:rPr>
                <w:rFonts w:ascii="Arial" w:eastAsia="Times New Roman" w:hAnsi="Arial" w:cs="Arial"/>
                <w:color w:val="444444"/>
                <w:lang w:eastAsia="en-GB"/>
              </w:rPr>
              <w:t xml:space="preserve">Construction Works (£500,000 - £800,000)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746B3" w:rsidRPr="008746B3" w:rsidRDefault="008746B3" w:rsidP="0078608B">
            <w:pPr>
              <w:spacing w:before="379" w:after="379" w:line="379" w:lineRule="atLeast"/>
              <w:jc w:val="both"/>
              <w:rPr>
                <w:rFonts w:ascii="Arial" w:eastAsia="Times New Roman" w:hAnsi="Arial" w:cs="Arial"/>
                <w:color w:val="444444"/>
                <w:lang w:eastAsia="en-GB"/>
              </w:rPr>
            </w:pPr>
            <w:r w:rsidRPr="008746B3">
              <w:rPr>
                <w:rFonts w:ascii="Arial" w:eastAsia="Times New Roman" w:hAnsi="Arial" w:cs="Arial"/>
                <w:b/>
                <w:bCs/>
                <w:color w:val="444444"/>
                <w:lang w:eastAsia="en-GB"/>
              </w:rPr>
              <w:t>RS4WA2TFR7</w:t>
            </w:r>
            <w:r w:rsidRPr="008746B3">
              <w:rPr>
                <w:rFonts w:ascii="Arial" w:eastAsia="Times New Roman" w:hAnsi="Arial" w:cs="Arial"/>
                <w:color w:val="444444"/>
                <w:lang w:eastAsia="en-GB"/>
              </w:rPr>
              <w:t xml:space="preserve"> </w:t>
            </w:r>
          </w:p>
        </w:tc>
      </w:tr>
      <w:tr w:rsidR="008746B3" w:rsidRPr="008746B3" w:rsidTr="003F0264">
        <w:trPr>
          <w:trHeight w:val="106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746B3" w:rsidRPr="008746B3" w:rsidRDefault="008746B3" w:rsidP="0078608B">
            <w:pPr>
              <w:spacing w:before="379" w:after="379" w:line="379" w:lineRule="atLeast"/>
              <w:jc w:val="both"/>
              <w:rPr>
                <w:rFonts w:ascii="Arial" w:eastAsia="Times New Roman" w:hAnsi="Arial" w:cs="Arial"/>
                <w:color w:val="444444"/>
                <w:lang w:eastAsia="en-GB"/>
              </w:rPr>
            </w:pPr>
            <w:r w:rsidRPr="008746B3">
              <w:rPr>
                <w:rFonts w:ascii="Arial" w:eastAsia="Times New Roman" w:hAnsi="Arial" w:cs="Arial"/>
                <w:color w:val="444444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746B3" w:rsidRPr="008746B3" w:rsidRDefault="008746B3" w:rsidP="0078608B">
            <w:pPr>
              <w:spacing w:before="379" w:after="379" w:line="379" w:lineRule="atLeast"/>
              <w:jc w:val="both"/>
              <w:rPr>
                <w:rFonts w:ascii="Arial" w:eastAsia="Times New Roman" w:hAnsi="Arial" w:cs="Arial"/>
                <w:color w:val="444444"/>
                <w:lang w:eastAsia="en-GB"/>
              </w:rPr>
            </w:pPr>
            <w:r w:rsidRPr="008746B3">
              <w:rPr>
                <w:rFonts w:ascii="Arial" w:eastAsia="Times New Roman" w:hAnsi="Arial" w:cs="Arial"/>
                <w:color w:val="444444"/>
                <w:lang w:eastAsia="en-GB"/>
              </w:rPr>
              <w:t>Building Services Works (up to £150,000)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746B3" w:rsidRPr="008746B3" w:rsidRDefault="008746B3" w:rsidP="0078608B">
            <w:pPr>
              <w:spacing w:before="379" w:after="379" w:line="379" w:lineRule="atLeast"/>
              <w:jc w:val="both"/>
              <w:rPr>
                <w:rFonts w:ascii="Arial" w:eastAsia="Times New Roman" w:hAnsi="Arial" w:cs="Arial"/>
                <w:color w:val="444444"/>
                <w:lang w:eastAsia="en-GB"/>
              </w:rPr>
            </w:pPr>
            <w:r w:rsidRPr="008746B3">
              <w:rPr>
                <w:rFonts w:ascii="Arial" w:eastAsia="Times New Roman" w:hAnsi="Arial" w:cs="Arial"/>
                <w:b/>
                <w:bCs/>
                <w:color w:val="444444"/>
                <w:lang w:eastAsia="en-GB"/>
              </w:rPr>
              <w:t>256UKE7U6F</w:t>
            </w:r>
            <w:r w:rsidRPr="008746B3">
              <w:rPr>
                <w:rFonts w:ascii="Arial" w:eastAsia="Times New Roman" w:hAnsi="Arial" w:cs="Arial"/>
                <w:color w:val="444444"/>
                <w:lang w:eastAsia="en-GB"/>
              </w:rPr>
              <w:t xml:space="preserve"> </w:t>
            </w:r>
          </w:p>
        </w:tc>
      </w:tr>
      <w:tr w:rsidR="008746B3" w:rsidRPr="008746B3" w:rsidTr="003F0264">
        <w:trPr>
          <w:trHeight w:val="107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746B3" w:rsidRPr="008746B3" w:rsidRDefault="008746B3" w:rsidP="0078608B">
            <w:pPr>
              <w:spacing w:before="379" w:after="379" w:line="379" w:lineRule="atLeast"/>
              <w:jc w:val="both"/>
              <w:rPr>
                <w:rFonts w:ascii="Arial" w:eastAsia="Times New Roman" w:hAnsi="Arial" w:cs="Arial"/>
                <w:color w:val="444444"/>
                <w:lang w:eastAsia="en-GB"/>
              </w:rPr>
            </w:pPr>
            <w:r w:rsidRPr="008746B3">
              <w:rPr>
                <w:rFonts w:ascii="Arial" w:eastAsia="Times New Roman" w:hAnsi="Arial" w:cs="Arial"/>
                <w:color w:val="444444"/>
                <w:lang w:eastAsia="en-GB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746B3" w:rsidRPr="008746B3" w:rsidRDefault="008746B3" w:rsidP="0078608B">
            <w:pPr>
              <w:spacing w:before="379" w:after="379" w:line="379" w:lineRule="atLeast"/>
              <w:jc w:val="both"/>
              <w:rPr>
                <w:rFonts w:ascii="Arial" w:eastAsia="Times New Roman" w:hAnsi="Arial" w:cs="Arial"/>
                <w:color w:val="444444"/>
                <w:lang w:eastAsia="en-GB"/>
              </w:rPr>
            </w:pPr>
            <w:r w:rsidRPr="008746B3">
              <w:rPr>
                <w:rFonts w:ascii="Arial" w:eastAsia="Times New Roman" w:hAnsi="Arial" w:cs="Arial"/>
                <w:color w:val="444444"/>
                <w:lang w:eastAsia="en-GB"/>
              </w:rPr>
              <w:t>Building Services Works (£150,000 - £800,000)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746B3" w:rsidRPr="008746B3" w:rsidRDefault="008746B3" w:rsidP="0078608B">
            <w:pPr>
              <w:spacing w:before="379" w:after="379" w:line="379" w:lineRule="atLeast"/>
              <w:jc w:val="both"/>
              <w:rPr>
                <w:rFonts w:ascii="Arial" w:eastAsia="Times New Roman" w:hAnsi="Arial" w:cs="Arial"/>
                <w:color w:val="444444"/>
                <w:lang w:eastAsia="en-GB"/>
              </w:rPr>
            </w:pPr>
            <w:r w:rsidRPr="008746B3">
              <w:rPr>
                <w:rFonts w:ascii="Arial" w:eastAsia="Times New Roman" w:hAnsi="Arial" w:cs="Arial"/>
                <w:b/>
                <w:bCs/>
                <w:color w:val="444444"/>
                <w:lang w:eastAsia="en-GB"/>
              </w:rPr>
              <w:t>8N7STU97F8</w:t>
            </w:r>
            <w:r w:rsidRPr="008746B3">
              <w:rPr>
                <w:rFonts w:ascii="Arial" w:eastAsia="Times New Roman" w:hAnsi="Arial" w:cs="Arial"/>
                <w:color w:val="444444"/>
                <w:lang w:eastAsia="en-GB"/>
              </w:rPr>
              <w:t xml:space="preserve"> </w:t>
            </w:r>
          </w:p>
        </w:tc>
      </w:tr>
      <w:tr w:rsidR="008746B3" w:rsidRPr="008746B3" w:rsidTr="003F0264">
        <w:trPr>
          <w:trHeight w:val="107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746B3" w:rsidRPr="008746B3" w:rsidRDefault="008746B3" w:rsidP="0078608B">
            <w:pPr>
              <w:spacing w:before="379" w:after="379" w:line="379" w:lineRule="atLeast"/>
              <w:jc w:val="both"/>
              <w:rPr>
                <w:rFonts w:ascii="Arial" w:eastAsia="Times New Roman" w:hAnsi="Arial" w:cs="Arial"/>
                <w:color w:val="444444"/>
                <w:lang w:eastAsia="en-GB"/>
              </w:rPr>
            </w:pPr>
            <w:r w:rsidRPr="008746B3">
              <w:rPr>
                <w:rFonts w:ascii="Arial" w:eastAsia="Times New Roman" w:hAnsi="Arial" w:cs="Arial"/>
                <w:color w:val="444444"/>
                <w:lang w:eastAsia="en-GB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746B3" w:rsidRPr="008746B3" w:rsidRDefault="008746B3" w:rsidP="0078608B">
            <w:pPr>
              <w:spacing w:before="379" w:after="379" w:line="379" w:lineRule="atLeast"/>
              <w:jc w:val="both"/>
              <w:rPr>
                <w:rFonts w:ascii="Arial" w:eastAsia="Times New Roman" w:hAnsi="Arial" w:cs="Arial"/>
                <w:color w:val="444444"/>
                <w:lang w:eastAsia="en-GB"/>
              </w:rPr>
            </w:pPr>
            <w:r w:rsidRPr="008746B3">
              <w:rPr>
                <w:rFonts w:ascii="Arial" w:eastAsia="Times New Roman" w:hAnsi="Arial" w:cs="Arial"/>
                <w:color w:val="444444"/>
                <w:lang w:eastAsia="en-GB"/>
              </w:rPr>
              <w:t xml:space="preserve">Demolition Works (£50,000 - £800,000)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746B3" w:rsidRPr="008746B3" w:rsidRDefault="008746B3" w:rsidP="0078608B">
            <w:pPr>
              <w:spacing w:before="379" w:after="379" w:line="379" w:lineRule="atLeast"/>
              <w:jc w:val="both"/>
              <w:rPr>
                <w:rFonts w:ascii="Arial" w:eastAsia="Times New Roman" w:hAnsi="Arial" w:cs="Arial"/>
                <w:color w:val="444444"/>
                <w:lang w:eastAsia="en-GB"/>
              </w:rPr>
            </w:pPr>
            <w:r w:rsidRPr="008746B3">
              <w:rPr>
                <w:rFonts w:ascii="Arial" w:eastAsia="Times New Roman" w:hAnsi="Arial" w:cs="Arial"/>
                <w:b/>
                <w:bCs/>
                <w:color w:val="444444"/>
                <w:lang w:eastAsia="en-GB"/>
              </w:rPr>
              <w:t>33MCTR6YQ4</w:t>
            </w:r>
            <w:r w:rsidRPr="008746B3">
              <w:rPr>
                <w:rFonts w:ascii="Arial" w:eastAsia="Times New Roman" w:hAnsi="Arial" w:cs="Arial"/>
                <w:color w:val="444444"/>
                <w:lang w:eastAsia="en-GB"/>
              </w:rPr>
              <w:t xml:space="preserve"> </w:t>
            </w:r>
          </w:p>
        </w:tc>
      </w:tr>
    </w:tbl>
    <w:p w:rsidR="00F14414" w:rsidRDefault="00F14414" w:rsidP="004D0CC5">
      <w:pPr>
        <w:spacing w:before="240" w:after="240" w:line="379" w:lineRule="atLeast"/>
        <w:jc w:val="both"/>
        <w:rPr>
          <w:rFonts w:ascii="Arial" w:hAnsi="Arial" w:cs="Arial"/>
        </w:rPr>
      </w:pPr>
    </w:p>
    <w:p w:rsidR="002668C4" w:rsidRDefault="00863A8E" w:rsidP="0078608B">
      <w:pPr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color w:val="444444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val="en" w:eastAsia="en-GB"/>
        </w:rPr>
        <w:t>Criteria</w:t>
      </w:r>
    </w:p>
    <w:tbl>
      <w:tblPr>
        <w:tblW w:w="15647" w:type="dxa"/>
        <w:tblLook w:val="04A0" w:firstRow="1" w:lastRow="0" w:firstColumn="1" w:lastColumn="0" w:noHBand="0" w:noVBand="1"/>
      </w:tblPr>
      <w:tblGrid>
        <w:gridCol w:w="600"/>
        <w:gridCol w:w="1355"/>
        <w:gridCol w:w="1270"/>
        <w:gridCol w:w="2084"/>
        <w:gridCol w:w="1350"/>
        <w:gridCol w:w="1975"/>
        <w:gridCol w:w="1174"/>
        <w:gridCol w:w="2055"/>
        <w:gridCol w:w="1339"/>
        <w:gridCol w:w="817"/>
        <w:gridCol w:w="1628"/>
      </w:tblGrid>
      <w:tr w:rsidR="008E1623" w:rsidRPr="008E1623" w:rsidTr="008E1623">
        <w:trPr>
          <w:trHeight w:val="300"/>
        </w:trPr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DBDB"/>
            <w:vAlign w:val="bottom"/>
            <w:hideMark/>
          </w:tcPr>
          <w:p w:rsidR="008E1623" w:rsidRPr="008E1623" w:rsidRDefault="008E1623" w:rsidP="008E1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proofErr w:type="spellStart"/>
            <w:r w:rsidRPr="008E1623">
              <w:rPr>
                <w:rFonts w:ascii="Calibri" w:eastAsia="Times New Roman" w:hAnsi="Calibri" w:cs="Calibri"/>
                <w:b/>
                <w:bCs/>
                <w:lang w:eastAsia="en-GB"/>
              </w:rPr>
              <w:t>Constructionline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623" w:rsidRPr="008E1623" w:rsidRDefault="008E1623" w:rsidP="008E1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623" w:rsidRPr="008E1623" w:rsidRDefault="008E1623" w:rsidP="008E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623" w:rsidRPr="008E1623" w:rsidRDefault="008E1623" w:rsidP="008E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623" w:rsidRPr="008E1623" w:rsidRDefault="008E1623" w:rsidP="008E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623" w:rsidRPr="008E1623" w:rsidRDefault="008E1623" w:rsidP="008E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623" w:rsidRPr="008E1623" w:rsidRDefault="008E1623" w:rsidP="008E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623" w:rsidRPr="008E1623" w:rsidRDefault="008E1623" w:rsidP="008E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23" w:rsidRPr="008E1623" w:rsidRDefault="008E1623" w:rsidP="008E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23" w:rsidRPr="008E1623" w:rsidRDefault="008E1623" w:rsidP="008E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1623" w:rsidRPr="008E1623" w:rsidTr="008E1623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textDirection w:val="btLr"/>
            <w:vAlign w:val="bottom"/>
            <w:hideMark/>
          </w:tcPr>
          <w:p w:rsidR="008E1623" w:rsidRPr="008E1623" w:rsidRDefault="008E1623" w:rsidP="008E1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1623">
              <w:rPr>
                <w:rFonts w:ascii="Calibri" w:eastAsia="Times New Roman" w:hAnsi="Calibri" w:cs="Calibri"/>
                <w:b/>
                <w:bCs/>
                <w:lang w:eastAsia="en-GB"/>
              </w:rPr>
              <w:t>Level</w:t>
            </w:r>
            <w:r w:rsidR="0081096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8E1623" w:rsidRPr="008E1623" w:rsidRDefault="008E1623" w:rsidP="008E1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proofErr w:type="spellStart"/>
            <w:r w:rsidRPr="008E1623">
              <w:rPr>
                <w:rFonts w:ascii="Calibri" w:eastAsia="Times New Roman" w:hAnsi="Calibri" w:cs="Calibri"/>
                <w:b/>
                <w:bCs/>
                <w:lang w:eastAsia="en-GB"/>
              </w:rPr>
              <w:t>Reg</w:t>
            </w:r>
            <w:proofErr w:type="spellEnd"/>
            <w:r w:rsidRPr="008E162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No.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8E1623" w:rsidRPr="008E1623" w:rsidRDefault="008E1623" w:rsidP="008E1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1623">
              <w:rPr>
                <w:rFonts w:ascii="Calibri" w:eastAsia="Times New Roman" w:hAnsi="Calibri" w:cs="Calibri"/>
                <w:b/>
                <w:bCs/>
                <w:lang w:eastAsia="en-GB"/>
              </w:rPr>
              <w:t>SSIP Renewal Date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8E1623" w:rsidRPr="008E1623" w:rsidRDefault="008E1623" w:rsidP="008E1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1623">
              <w:rPr>
                <w:rFonts w:ascii="Calibri" w:eastAsia="Times New Roman" w:hAnsi="Calibri" w:cs="Calibri"/>
                <w:b/>
                <w:bCs/>
                <w:lang w:eastAsia="en-GB"/>
              </w:rPr>
              <w:t>Employer Policy No.</w:t>
            </w:r>
            <w:r w:rsidR="00A53C55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£5m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8E1623" w:rsidRPr="008E1623" w:rsidRDefault="008E1623" w:rsidP="008E1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1623">
              <w:rPr>
                <w:rFonts w:ascii="Calibri" w:eastAsia="Times New Roman" w:hAnsi="Calibri" w:cs="Calibri"/>
                <w:b/>
                <w:bCs/>
                <w:lang w:eastAsia="en-GB"/>
              </w:rPr>
              <w:t>Employer Renewal Date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75308E" w:rsidRDefault="008E1623" w:rsidP="008E1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1623">
              <w:rPr>
                <w:rFonts w:ascii="Calibri" w:eastAsia="Times New Roman" w:hAnsi="Calibri" w:cs="Calibri"/>
                <w:b/>
                <w:bCs/>
                <w:lang w:eastAsia="en-GB"/>
              </w:rPr>
              <w:t>Public Liability Policy No.</w:t>
            </w:r>
            <w:r w:rsidR="0075308E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</w:p>
          <w:p w:rsidR="008E1623" w:rsidRPr="008E1623" w:rsidRDefault="0075308E" w:rsidP="008E1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£5m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8E1623" w:rsidRPr="008E1623" w:rsidRDefault="008E1623" w:rsidP="008E1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1623">
              <w:rPr>
                <w:rFonts w:ascii="Calibri" w:eastAsia="Times New Roman" w:hAnsi="Calibri" w:cs="Calibri"/>
                <w:b/>
                <w:bCs/>
                <w:lang w:eastAsia="en-GB"/>
              </w:rPr>
              <w:t>Public Liability Renewal Date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75308E" w:rsidRDefault="0075308E" w:rsidP="008E1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:rsidR="0075308E" w:rsidRDefault="008E1623" w:rsidP="008E1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1623">
              <w:rPr>
                <w:rFonts w:ascii="Calibri" w:eastAsia="Times New Roman" w:hAnsi="Calibri" w:cs="Calibri"/>
                <w:b/>
                <w:bCs/>
                <w:lang w:eastAsia="en-GB"/>
              </w:rPr>
              <w:t>Professional Indemnity Policy No.</w:t>
            </w:r>
            <w:r w:rsidR="0075308E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</w:p>
          <w:p w:rsidR="008E1623" w:rsidRDefault="0075308E" w:rsidP="008E1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£1m</w:t>
            </w:r>
          </w:p>
          <w:p w:rsidR="0075308E" w:rsidRPr="008E1623" w:rsidRDefault="0075308E" w:rsidP="008E1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8E1623" w:rsidRPr="008E1623" w:rsidRDefault="008E1623" w:rsidP="008E1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1623">
              <w:rPr>
                <w:rFonts w:ascii="Calibri" w:eastAsia="Times New Roman" w:hAnsi="Calibri" w:cs="Calibri"/>
                <w:b/>
                <w:bCs/>
                <w:lang w:eastAsia="en-GB"/>
              </w:rPr>
              <w:t>Professional Indemnity Renewal Date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8E1623" w:rsidRPr="008E1623" w:rsidRDefault="008E1623" w:rsidP="008E1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1623">
              <w:rPr>
                <w:rFonts w:ascii="Calibri" w:eastAsia="Times New Roman" w:hAnsi="Calibri" w:cs="Calibri"/>
                <w:b/>
                <w:bCs/>
                <w:lang w:eastAsia="en-GB"/>
              </w:rPr>
              <w:t>SWP Ver.10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8E1623" w:rsidRPr="008E1623" w:rsidRDefault="008E1623" w:rsidP="008E1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E1623">
              <w:rPr>
                <w:rFonts w:ascii="Arial" w:eastAsia="Times New Roman" w:hAnsi="Arial" w:cs="Arial"/>
                <w:b/>
                <w:bCs/>
                <w:lang w:eastAsia="en-GB"/>
              </w:rPr>
              <w:t>Turnover</w:t>
            </w:r>
          </w:p>
        </w:tc>
      </w:tr>
    </w:tbl>
    <w:p w:rsidR="008E1623" w:rsidRDefault="008E1623" w:rsidP="00A53C55">
      <w:pPr>
        <w:spacing w:before="120" w:after="120" w:line="240" w:lineRule="auto"/>
        <w:jc w:val="both"/>
        <w:outlineLvl w:val="2"/>
        <w:rPr>
          <w:rFonts w:ascii="Arial" w:hAnsi="Arial" w:cs="Arial"/>
        </w:rPr>
      </w:pPr>
    </w:p>
    <w:sectPr w:rsidR="008E1623" w:rsidSect="006C7369">
      <w:footerReference w:type="default" r:id="rId8"/>
      <w:pgSz w:w="16838" w:h="11906" w:orient="landscape"/>
      <w:pgMar w:top="510" w:right="851" w:bottom="510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6C" w:rsidRDefault="00A0746C" w:rsidP="00A0746C">
      <w:pPr>
        <w:spacing w:after="0" w:line="240" w:lineRule="auto"/>
      </w:pPr>
      <w:r>
        <w:separator/>
      </w:r>
    </w:p>
  </w:endnote>
  <w:endnote w:type="continuationSeparator" w:id="0">
    <w:p w:rsidR="00A0746C" w:rsidRDefault="00A0746C" w:rsidP="00A0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6C" w:rsidRDefault="0089094C">
    <w:pPr>
      <w:pStyle w:val="Footer"/>
    </w:pPr>
    <w:r>
      <w:rPr>
        <w:noProof/>
        <w:lang w:eastAsia="en-GB"/>
      </w:rPr>
      <w:drawing>
        <wp:inline distT="0" distB="0" distL="0" distR="0" wp14:anchorId="4C1ADF5D" wp14:editId="3DF7C0F0">
          <wp:extent cx="2838997" cy="648646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997" cy="648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44F37FC2" wp14:editId="4C791FB9">
          <wp:extent cx="1144382" cy="828136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72" t="30315" r="23417" b="30817"/>
                  <a:stretch/>
                </pic:blipFill>
                <pic:spPr>
                  <a:xfrm>
                    <a:off x="0" y="0"/>
                    <a:ext cx="1144382" cy="82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6C" w:rsidRDefault="00A0746C" w:rsidP="00A0746C">
      <w:pPr>
        <w:spacing w:after="0" w:line="240" w:lineRule="auto"/>
      </w:pPr>
      <w:r>
        <w:separator/>
      </w:r>
    </w:p>
  </w:footnote>
  <w:footnote w:type="continuationSeparator" w:id="0">
    <w:p w:rsidR="00A0746C" w:rsidRDefault="00A0746C" w:rsidP="00A07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5A"/>
    <w:rsid w:val="000627BD"/>
    <w:rsid w:val="001719D2"/>
    <w:rsid w:val="001C32E4"/>
    <w:rsid w:val="002668C4"/>
    <w:rsid w:val="002E4C81"/>
    <w:rsid w:val="003107EB"/>
    <w:rsid w:val="00323956"/>
    <w:rsid w:val="003355C3"/>
    <w:rsid w:val="00376DD0"/>
    <w:rsid w:val="003C045B"/>
    <w:rsid w:val="003F0264"/>
    <w:rsid w:val="004D0CC5"/>
    <w:rsid w:val="0052180A"/>
    <w:rsid w:val="005C050D"/>
    <w:rsid w:val="005E79FF"/>
    <w:rsid w:val="006043BC"/>
    <w:rsid w:val="00650DEA"/>
    <w:rsid w:val="00677493"/>
    <w:rsid w:val="006C7369"/>
    <w:rsid w:val="007232EF"/>
    <w:rsid w:val="0075308E"/>
    <w:rsid w:val="00773815"/>
    <w:rsid w:val="0078608B"/>
    <w:rsid w:val="008024BB"/>
    <w:rsid w:val="00810964"/>
    <w:rsid w:val="00816D50"/>
    <w:rsid w:val="00863A8E"/>
    <w:rsid w:val="00866FB9"/>
    <w:rsid w:val="008746B3"/>
    <w:rsid w:val="0089094C"/>
    <w:rsid w:val="00891D5A"/>
    <w:rsid w:val="008D2DC2"/>
    <w:rsid w:val="008D4F53"/>
    <w:rsid w:val="008E1623"/>
    <w:rsid w:val="009D77F9"/>
    <w:rsid w:val="00A00E60"/>
    <w:rsid w:val="00A0746C"/>
    <w:rsid w:val="00A53C55"/>
    <w:rsid w:val="00AE51B2"/>
    <w:rsid w:val="00B134F6"/>
    <w:rsid w:val="00B852AA"/>
    <w:rsid w:val="00C00D1F"/>
    <w:rsid w:val="00DA7669"/>
    <w:rsid w:val="00DD2C53"/>
    <w:rsid w:val="00E204BB"/>
    <w:rsid w:val="00EB59A3"/>
    <w:rsid w:val="00EF4EC8"/>
    <w:rsid w:val="00F1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83D96D5"/>
  <w15:chartTrackingRefBased/>
  <w15:docId w15:val="{41AD3152-4952-4415-BC91-317D42D8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7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46C"/>
  </w:style>
  <w:style w:type="paragraph" w:styleId="Footer">
    <w:name w:val="footer"/>
    <w:basedOn w:val="Normal"/>
    <w:link w:val="FooterChar"/>
    <w:uiPriority w:val="99"/>
    <w:unhideWhenUsed/>
    <w:rsid w:val="00A07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46C"/>
  </w:style>
  <w:style w:type="character" w:styleId="Hyperlink">
    <w:name w:val="Hyperlink"/>
    <w:basedOn w:val="DefaultParagraphFont"/>
    <w:uiPriority w:val="99"/>
    <w:unhideWhenUsed/>
    <w:rsid w:val="006C736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10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34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45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6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AAAAAA"/>
                        <w:left w:val="single" w:sz="6" w:space="12" w:color="AAAAAA"/>
                        <w:bottom w:val="single" w:sz="6" w:space="12" w:color="AAAAAA"/>
                        <w:right w:val="single" w:sz="6" w:space="12" w:color="AAAAAA"/>
                      </w:divBdr>
                      <w:divsChild>
                        <w:div w:id="18907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7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14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22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48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AAAAAA"/>
                        <w:left w:val="single" w:sz="6" w:space="12" w:color="AAAAAA"/>
                        <w:bottom w:val="single" w:sz="6" w:space="12" w:color="AAAAAA"/>
                        <w:right w:val="single" w:sz="6" w:space="12" w:color="AAAAAA"/>
                      </w:divBdr>
                      <w:divsChild>
                        <w:div w:id="63996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18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87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26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AAAAAA"/>
                        <w:left w:val="single" w:sz="6" w:space="12" w:color="AAAAAA"/>
                        <w:bottom w:val="single" w:sz="6" w:space="12" w:color="AAAAAA"/>
                        <w:right w:val="single" w:sz="6" w:space="12" w:color="AAAAAA"/>
                      </w:divBdr>
                      <w:divsChild>
                        <w:div w:id="12976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elta-esourcing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0B106-2043-494B-89C4-CF11D7C3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Clare</dc:creator>
  <cp:keywords/>
  <dc:description/>
  <cp:lastModifiedBy>Lawson, Dylan</cp:lastModifiedBy>
  <cp:revision>2</cp:revision>
  <cp:lastPrinted>2020-01-20T10:16:00Z</cp:lastPrinted>
  <dcterms:created xsi:type="dcterms:W3CDTF">2020-06-26T10:37:00Z</dcterms:created>
  <dcterms:modified xsi:type="dcterms:W3CDTF">2020-06-26T10:37:00Z</dcterms:modified>
</cp:coreProperties>
</file>